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5C07" w14:textId="77777777" w:rsidR="000D17C6" w:rsidRDefault="000D17C6">
      <w:pPr>
        <w:rPr>
          <w:b/>
          <w:bCs/>
        </w:rPr>
      </w:pPr>
    </w:p>
    <w:p w14:paraId="5C7713D1" w14:textId="2C7D42E7" w:rsidR="00DE3F93" w:rsidRPr="000D17C6" w:rsidRDefault="00DE3F93" w:rsidP="000D17C6">
      <w:pPr>
        <w:pStyle w:val="Heading1"/>
        <w:rPr>
          <w:rFonts w:ascii="Raleway" w:hAnsi="Raleway"/>
          <w:b/>
          <w:bCs/>
          <w:color w:val="612141"/>
        </w:rPr>
      </w:pPr>
      <w:r w:rsidRPr="000D17C6">
        <w:rPr>
          <w:rFonts w:ascii="Raleway" w:hAnsi="Raleway"/>
          <w:b/>
          <w:bCs/>
          <w:color w:val="612141"/>
        </w:rPr>
        <w:t>Evaluation Checklist A</w:t>
      </w:r>
    </w:p>
    <w:p w14:paraId="382DFA1A" w14:textId="77777777" w:rsidR="00DE3F93" w:rsidRDefault="00DE3F93"/>
    <w:p w14:paraId="1E85F818" w14:textId="67445860" w:rsidR="00D22556" w:rsidRDefault="006C453F" w:rsidP="000D17C6">
      <w:pPr>
        <w:pStyle w:val="Heading2"/>
      </w:pPr>
      <w:r w:rsidRPr="00DE3F93">
        <w:t>4. Standard Elements of Assessment (MPHEC)</w:t>
      </w:r>
    </w:p>
    <w:p w14:paraId="505E048B" w14:textId="23A9A220" w:rsidR="006C453F" w:rsidRDefault="006C453F"/>
    <w:tbl>
      <w:tblPr>
        <w:tblStyle w:val="TableGrid"/>
        <w:tblW w:w="0" w:type="auto"/>
        <w:tblLook w:val="04A0" w:firstRow="1" w:lastRow="0" w:firstColumn="1" w:lastColumn="0" w:noHBand="0" w:noVBand="1"/>
      </w:tblPr>
      <w:tblGrid>
        <w:gridCol w:w="6475"/>
        <w:gridCol w:w="6475"/>
      </w:tblGrid>
      <w:tr w:rsidR="006C453F" w14:paraId="564CC3A7" w14:textId="77777777" w:rsidTr="000D17C6">
        <w:trPr>
          <w:trHeight w:val="364"/>
        </w:trPr>
        <w:tc>
          <w:tcPr>
            <w:tcW w:w="6475" w:type="dxa"/>
            <w:shd w:val="clear" w:color="auto" w:fill="612141"/>
          </w:tcPr>
          <w:p w14:paraId="323EA962" w14:textId="36A502B5" w:rsidR="006C453F" w:rsidRPr="000D17C6" w:rsidRDefault="000D17C6" w:rsidP="000D17C6">
            <w:pPr>
              <w:jc w:val="center"/>
            </w:pPr>
            <w:r w:rsidRPr="000D17C6">
              <w:rPr>
                <w:b/>
                <w:bCs/>
              </w:rPr>
              <w:t>Criteria</w:t>
            </w:r>
          </w:p>
        </w:tc>
        <w:tc>
          <w:tcPr>
            <w:tcW w:w="6475" w:type="dxa"/>
            <w:shd w:val="clear" w:color="auto" w:fill="612141"/>
          </w:tcPr>
          <w:p w14:paraId="28F4E6F3" w14:textId="5D5783E9" w:rsidR="006C453F" w:rsidRPr="000D17C6" w:rsidRDefault="000D17C6" w:rsidP="000D17C6">
            <w:pPr>
              <w:jc w:val="center"/>
            </w:pPr>
            <w:r w:rsidRPr="000D17C6">
              <w:rPr>
                <w:b/>
                <w:bCs/>
              </w:rPr>
              <w:t>Comments</w:t>
            </w:r>
          </w:p>
        </w:tc>
      </w:tr>
      <w:tr w:rsidR="000D17C6" w14:paraId="35DFC44B" w14:textId="77777777" w:rsidTr="006C453F">
        <w:tc>
          <w:tcPr>
            <w:tcW w:w="6475" w:type="dxa"/>
          </w:tcPr>
          <w:p w14:paraId="1CDD0E58" w14:textId="255E2C9F" w:rsidR="000D17C6" w:rsidRPr="000D17C6" w:rsidRDefault="000D17C6" w:rsidP="000D17C6">
            <w:pPr>
              <w:pStyle w:val="NormalWeb"/>
              <w:rPr>
                <w:rFonts w:ascii="Calibri" w:hAnsi="Calibri" w:cs="Calibri"/>
                <w:sz w:val="20"/>
                <w:szCs w:val="20"/>
              </w:rPr>
            </w:pPr>
            <w:r w:rsidRPr="000D17C6">
              <w:rPr>
                <w:rFonts w:ascii="Calibri" w:hAnsi="Calibri" w:cs="Calibri"/>
                <w:b/>
                <w:bCs/>
                <w:sz w:val="20"/>
                <w:szCs w:val="20"/>
              </w:rPr>
              <w:t>4.1</w:t>
            </w:r>
            <w:r>
              <w:rPr>
                <w:rFonts w:ascii="Calibri" w:hAnsi="Calibri" w:cs="Calibri"/>
                <w:b/>
                <w:bCs/>
                <w:sz w:val="20"/>
                <w:szCs w:val="20"/>
              </w:rPr>
              <w:t xml:space="preserve"> </w:t>
            </w:r>
            <w:r w:rsidRPr="000D17C6">
              <w:rPr>
                <w:rFonts w:ascii="Calibri" w:hAnsi="Calibri" w:cs="Calibri"/>
                <w:sz w:val="20"/>
                <w:szCs w:val="20"/>
              </w:rPr>
              <w:t xml:space="preserve"> </w:t>
            </w:r>
            <w:r>
              <w:rPr>
                <w:rFonts w:ascii="Calibri" w:hAnsi="Calibri" w:cs="Calibri"/>
                <w:sz w:val="20"/>
                <w:szCs w:val="20"/>
              </w:rPr>
              <w:t xml:space="preserve">Assessment of program content, structure, and requirements in relation to normally accepted standards of similar programs and graduates, in Canada and elsewhere, as well as in relation to program title and credential awarded. The assessment will include a comment on the appropriateness of the proposed level of study to respond to identified needs, as well as the proposed delivery mode(s). </w:t>
            </w:r>
          </w:p>
          <w:p w14:paraId="6E7C373D" w14:textId="77777777" w:rsidR="000D17C6" w:rsidRPr="000D17C6" w:rsidRDefault="000D17C6" w:rsidP="000D17C6">
            <w:pPr>
              <w:pStyle w:val="NormalWeb"/>
              <w:rPr>
                <w:rFonts w:ascii="Calibri" w:hAnsi="Calibri" w:cs="Calibri"/>
                <w:sz w:val="20"/>
                <w:szCs w:val="20"/>
              </w:rPr>
            </w:pPr>
          </w:p>
        </w:tc>
        <w:tc>
          <w:tcPr>
            <w:tcW w:w="6475" w:type="dxa"/>
          </w:tcPr>
          <w:p w14:paraId="2E600D02" w14:textId="77777777" w:rsidR="000D17C6" w:rsidRDefault="000D17C6" w:rsidP="000D17C6"/>
        </w:tc>
      </w:tr>
      <w:tr w:rsidR="000D17C6" w14:paraId="24064F0E" w14:textId="77777777" w:rsidTr="000D17C6">
        <w:trPr>
          <w:trHeight w:val="692"/>
        </w:trPr>
        <w:tc>
          <w:tcPr>
            <w:tcW w:w="6475" w:type="dxa"/>
          </w:tcPr>
          <w:p w14:paraId="59FAD387" w14:textId="3E5882FF" w:rsidR="000D17C6" w:rsidRDefault="000D17C6" w:rsidP="000D17C6">
            <w:pPr>
              <w:pStyle w:val="NormalWeb"/>
            </w:pPr>
            <w:r w:rsidRPr="000D17C6">
              <w:rPr>
                <w:rFonts w:ascii="Calibri" w:hAnsi="Calibri" w:cs="Calibri"/>
                <w:b/>
                <w:bCs/>
                <w:sz w:val="20"/>
                <w:szCs w:val="20"/>
              </w:rPr>
              <w:t>4.2</w:t>
            </w:r>
            <w:r>
              <w:rPr>
                <w:rFonts w:ascii="Calibri" w:hAnsi="Calibri" w:cs="Calibri"/>
                <w:sz w:val="20"/>
                <w:szCs w:val="20"/>
              </w:rPr>
              <w:t xml:space="preserve">  As appropriate, a comparison with other comparable programs. </w:t>
            </w:r>
          </w:p>
        </w:tc>
        <w:tc>
          <w:tcPr>
            <w:tcW w:w="6475" w:type="dxa"/>
          </w:tcPr>
          <w:p w14:paraId="0691D789" w14:textId="77777777" w:rsidR="000D17C6" w:rsidRDefault="000D17C6" w:rsidP="000D17C6"/>
        </w:tc>
      </w:tr>
      <w:tr w:rsidR="000D17C6" w14:paraId="4AFD0F5D" w14:textId="77777777" w:rsidTr="006C453F">
        <w:tc>
          <w:tcPr>
            <w:tcW w:w="6475" w:type="dxa"/>
          </w:tcPr>
          <w:p w14:paraId="0F0C9C86" w14:textId="4915A14C" w:rsidR="000D17C6" w:rsidRDefault="000D17C6" w:rsidP="000D17C6">
            <w:pPr>
              <w:pStyle w:val="NormalWeb"/>
            </w:pPr>
            <w:r w:rsidRPr="000D17C6">
              <w:rPr>
                <w:rFonts w:ascii="Calibri" w:hAnsi="Calibri" w:cs="Calibri"/>
                <w:b/>
                <w:bCs/>
                <w:sz w:val="20"/>
                <w:szCs w:val="20"/>
              </w:rPr>
              <w:t>4.3</w:t>
            </w:r>
            <w:r>
              <w:rPr>
                <w:rFonts w:ascii="Calibri" w:hAnsi="Calibri" w:cs="Calibri"/>
                <w:sz w:val="20"/>
                <w:szCs w:val="20"/>
              </w:rPr>
              <w:t xml:space="preserve"> </w:t>
            </w:r>
            <w:r w:rsidR="00D510AF">
              <w:rPr>
                <w:rFonts w:ascii="Calibri" w:hAnsi="Calibri" w:cs="Calibri"/>
                <w:sz w:val="20"/>
                <w:szCs w:val="20"/>
              </w:rPr>
              <w:t xml:space="preserve"> </w:t>
            </w:r>
            <w:r>
              <w:rPr>
                <w:rFonts w:ascii="Calibri" w:hAnsi="Calibri" w:cs="Calibri"/>
                <w:sz w:val="20"/>
                <w:szCs w:val="20"/>
              </w:rPr>
              <w:t xml:space="preserve">Evaluation of the adequacy of human resources available for program implementation and operation and, as appropriate, for the areas of specialization identified. Specifically, the report should provide answers to: </w:t>
            </w:r>
          </w:p>
          <w:p w14:paraId="71DD823D" w14:textId="49665756" w:rsidR="000D17C6" w:rsidRDefault="000D17C6" w:rsidP="000D17C6">
            <w:pPr>
              <w:pStyle w:val="NormalWeb"/>
              <w:numPr>
                <w:ilvl w:val="1"/>
                <w:numId w:val="3"/>
              </w:numPr>
            </w:pPr>
            <w:r>
              <w:rPr>
                <w:rFonts w:ascii="Calibri" w:hAnsi="Calibri" w:cs="Calibri"/>
                <w:sz w:val="20"/>
                <w:szCs w:val="20"/>
              </w:rPr>
              <w:t xml:space="preserve">Is there an appropriate distribution of expertise and strengths for the proposed program? </w:t>
            </w:r>
          </w:p>
          <w:p w14:paraId="29040BE0" w14:textId="1879022D" w:rsidR="000D17C6" w:rsidRDefault="000D17C6" w:rsidP="00CC6341">
            <w:pPr>
              <w:pStyle w:val="NormalWeb"/>
              <w:numPr>
                <w:ilvl w:val="1"/>
                <w:numId w:val="3"/>
              </w:numPr>
            </w:pPr>
            <w:r w:rsidRPr="000D17C6">
              <w:rPr>
                <w:rFonts w:ascii="Calibri" w:hAnsi="Calibri" w:cs="Calibri"/>
                <w:sz w:val="20"/>
                <w:szCs w:val="20"/>
              </w:rPr>
              <w:t xml:space="preserve">Does the faculty complement provide sufficient breadth and depth of research expertise and linkages with both the national (and/ international, as appropriate) research community and practitioners to provide an appropriate intellectual environment for graduate students, given the program area and level? </w:t>
            </w:r>
          </w:p>
          <w:p w14:paraId="21138CFA" w14:textId="66653A70" w:rsidR="000D17C6" w:rsidRDefault="000D17C6" w:rsidP="000D17C6">
            <w:pPr>
              <w:pStyle w:val="NormalWeb"/>
              <w:numPr>
                <w:ilvl w:val="1"/>
                <w:numId w:val="3"/>
              </w:numPr>
            </w:pPr>
            <w:r>
              <w:rPr>
                <w:rFonts w:ascii="Calibri" w:hAnsi="Calibri" w:cs="Calibri"/>
                <w:sz w:val="20"/>
                <w:szCs w:val="20"/>
              </w:rPr>
              <w:t xml:space="preserve">In your view, can the current (or planned) faculty complement successfully operate the proposed graduate program? </w:t>
            </w:r>
          </w:p>
        </w:tc>
        <w:tc>
          <w:tcPr>
            <w:tcW w:w="6475" w:type="dxa"/>
          </w:tcPr>
          <w:p w14:paraId="061411D7" w14:textId="77777777" w:rsidR="000D17C6" w:rsidRDefault="000D17C6" w:rsidP="000D17C6"/>
        </w:tc>
      </w:tr>
      <w:tr w:rsidR="000D17C6" w14:paraId="31779592" w14:textId="77777777" w:rsidTr="006C453F">
        <w:tc>
          <w:tcPr>
            <w:tcW w:w="6475" w:type="dxa"/>
          </w:tcPr>
          <w:p w14:paraId="3A58BA60" w14:textId="77777777" w:rsidR="000D17C6" w:rsidRDefault="000D17C6" w:rsidP="000D17C6">
            <w:pPr>
              <w:pStyle w:val="NormalWeb"/>
            </w:pPr>
            <w:proofErr w:type="gramStart"/>
            <w:r w:rsidRPr="00D510AF">
              <w:rPr>
                <w:rFonts w:ascii="Calibri" w:hAnsi="Calibri" w:cs="Calibri"/>
                <w:b/>
                <w:bCs/>
                <w:sz w:val="20"/>
                <w:szCs w:val="20"/>
              </w:rPr>
              <w:lastRenderedPageBreak/>
              <w:t>4.4</w:t>
            </w:r>
            <w:r>
              <w:rPr>
                <w:rFonts w:ascii="Calibri" w:hAnsi="Calibri" w:cs="Calibri"/>
                <w:sz w:val="20"/>
                <w:szCs w:val="20"/>
              </w:rPr>
              <w:t xml:space="preserve">  Evaluation</w:t>
            </w:r>
            <w:proofErr w:type="gramEnd"/>
            <w:r>
              <w:rPr>
                <w:rFonts w:ascii="Calibri" w:hAnsi="Calibri" w:cs="Calibri"/>
                <w:sz w:val="20"/>
                <w:szCs w:val="20"/>
              </w:rPr>
              <w:t xml:space="preserve"> of the adequacy of physical resources (e.g., library holdings, research space) available for program implementation and operation, in light of the projected enrolments. Specifically, are the equipment, services, </w:t>
            </w:r>
            <w:proofErr w:type="gramStart"/>
            <w:r>
              <w:rPr>
                <w:rFonts w:ascii="Calibri" w:hAnsi="Calibri" w:cs="Calibri"/>
                <w:sz w:val="20"/>
                <w:szCs w:val="20"/>
              </w:rPr>
              <w:t>libraries</w:t>
            </w:r>
            <w:proofErr w:type="gramEnd"/>
            <w:r>
              <w:rPr>
                <w:rFonts w:ascii="Calibri" w:hAnsi="Calibri" w:cs="Calibri"/>
                <w:sz w:val="20"/>
                <w:szCs w:val="20"/>
              </w:rPr>
              <w:t xml:space="preserve"> and other associated facilities adequate for the proposed program? </w:t>
            </w:r>
          </w:p>
          <w:p w14:paraId="69434DB5" w14:textId="77777777" w:rsidR="000D17C6" w:rsidRDefault="000D17C6" w:rsidP="000D17C6"/>
        </w:tc>
        <w:tc>
          <w:tcPr>
            <w:tcW w:w="6475" w:type="dxa"/>
          </w:tcPr>
          <w:p w14:paraId="5608FA4F" w14:textId="77777777" w:rsidR="000D17C6" w:rsidRDefault="000D17C6" w:rsidP="000D17C6"/>
        </w:tc>
      </w:tr>
      <w:tr w:rsidR="000D17C6" w14:paraId="00F42BCD" w14:textId="77777777" w:rsidTr="006C453F">
        <w:tc>
          <w:tcPr>
            <w:tcW w:w="6475" w:type="dxa"/>
          </w:tcPr>
          <w:p w14:paraId="052E36DE" w14:textId="77777777" w:rsidR="000D17C6" w:rsidRDefault="000D17C6" w:rsidP="000D17C6">
            <w:pPr>
              <w:pStyle w:val="NormalWeb"/>
            </w:pPr>
            <w:r w:rsidRPr="00D510AF">
              <w:rPr>
                <w:rFonts w:ascii="Calibri" w:hAnsi="Calibri" w:cs="Calibri"/>
                <w:b/>
                <w:bCs/>
                <w:sz w:val="20"/>
                <w:szCs w:val="20"/>
              </w:rPr>
              <w:t>4.5</w:t>
            </w:r>
            <w:r>
              <w:rPr>
                <w:rFonts w:ascii="Calibri" w:hAnsi="Calibri" w:cs="Calibri"/>
                <w:sz w:val="20"/>
                <w:szCs w:val="20"/>
              </w:rPr>
              <w:t xml:space="preserve">  Evaluation of the appropriateness of the organizational environment in providing this program. The report should include comment on </w:t>
            </w:r>
            <w:proofErr w:type="gramStart"/>
            <w:r>
              <w:rPr>
                <w:rFonts w:ascii="Calibri" w:hAnsi="Calibri" w:cs="Calibri"/>
                <w:sz w:val="20"/>
                <w:szCs w:val="20"/>
              </w:rPr>
              <w:t>whether or not</w:t>
            </w:r>
            <w:proofErr w:type="gramEnd"/>
            <w:r>
              <w:rPr>
                <w:rFonts w:ascii="Calibri" w:hAnsi="Calibri" w:cs="Calibri"/>
                <w:sz w:val="20"/>
                <w:szCs w:val="20"/>
              </w:rPr>
              <w:t xml:space="preserve"> adequate procedures have been put in place for regular review and evaluation of the quality of the graduate pr </w:t>
            </w:r>
          </w:p>
          <w:p w14:paraId="53B1D8F4" w14:textId="77777777" w:rsidR="000D17C6" w:rsidRDefault="000D17C6" w:rsidP="000D17C6"/>
        </w:tc>
        <w:tc>
          <w:tcPr>
            <w:tcW w:w="6475" w:type="dxa"/>
          </w:tcPr>
          <w:p w14:paraId="68DCFD74" w14:textId="77777777" w:rsidR="000D17C6" w:rsidRDefault="000D17C6" w:rsidP="000D17C6"/>
        </w:tc>
      </w:tr>
      <w:tr w:rsidR="000D17C6" w14:paraId="02D79A76" w14:textId="77777777" w:rsidTr="006C453F">
        <w:tc>
          <w:tcPr>
            <w:tcW w:w="6475" w:type="dxa"/>
          </w:tcPr>
          <w:p w14:paraId="5AADD2DE" w14:textId="77777777" w:rsidR="000D17C6" w:rsidRDefault="000D17C6" w:rsidP="000D17C6">
            <w:pPr>
              <w:pStyle w:val="NormalWeb"/>
            </w:pPr>
            <w:r w:rsidRPr="00D510AF">
              <w:rPr>
                <w:rFonts w:ascii="Calibri" w:hAnsi="Calibri" w:cs="Calibri"/>
                <w:b/>
                <w:bCs/>
                <w:sz w:val="20"/>
                <w:szCs w:val="20"/>
              </w:rPr>
              <w:t>4.6</w:t>
            </w:r>
            <w:r>
              <w:rPr>
                <w:rFonts w:ascii="Calibri" w:hAnsi="Calibri" w:cs="Calibri"/>
                <w:sz w:val="20"/>
                <w:szCs w:val="20"/>
              </w:rPr>
              <w:t xml:space="preserve">  Comment on the likely stability of the program and the financial resources allocated to it. </w:t>
            </w:r>
          </w:p>
          <w:p w14:paraId="32411717" w14:textId="77777777" w:rsidR="000D17C6" w:rsidRDefault="000D17C6" w:rsidP="000D17C6"/>
        </w:tc>
        <w:tc>
          <w:tcPr>
            <w:tcW w:w="6475" w:type="dxa"/>
          </w:tcPr>
          <w:p w14:paraId="061F8901" w14:textId="77777777" w:rsidR="000D17C6" w:rsidRDefault="000D17C6" w:rsidP="000D17C6"/>
        </w:tc>
      </w:tr>
      <w:tr w:rsidR="000D17C6" w14:paraId="56C010F0" w14:textId="77777777" w:rsidTr="00D510AF">
        <w:trPr>
          <w:trHeight w:val="1055"/>
        </w:trPr>
        <w:tc>
          <w:tcPr>
            <w:tcW w:w="6475" w:type="dxa"/>
          </w:tcPr>
          <w:p w14:paraId="244D4758" w14:textId="5DD9AFA8" w:rsidR="000D17C6" w:rsidRDefault="000D17C6" w:rsidP="000D17C6">
            <w:pPr>
              <w:pStyle w:val="NormalWeb"/>
            </w:pPr>
            <w:r w:rsidRPr="00D510AF">
              <w:rPr>
                <w:rFonts w:ascii="Calibri" w:hAnsi="Calibri" w:cs="Calibri"/>
                <w:b/>
                <w:bCs/>
                <w:sz w:val="20"/>
                <w:szCs w:val="20"/>
              </w:rPr>
              <w:t>4.7</w:t>
            </w:r>
            <w:r w:rsidR="00D510AF">
              <w:rPr>
                <w:rFonts w:ascii="Calibri" w:hAnsi="Calibri" w:cs="Calibri"/>
                <w:sz w:val="20"/>
                <w:szCs w:val="20"/>
              </w:rPr>
              <w:t xml:space="preserve"> </w:t>
            </w:r>
            <w:r>
              <w:rPr>
                <w:rFonts w:ascii="Calibri" w:hAnsi="Calibri" w:cs="Calibri"/>
                <w:sz w:val="20"/>
                <w:szCs w:val="20"/>
              </w:rPr>
              <w:t xml:space="preserve"> Opportunities presented by current and anticipated labour market trends to graduates of the program, given the proposed focus. </w:t>
            </w:r>
          </w:p>
        </w:tc>
        <w:tc>
          <w:tcPr>
            <w:tcW w:w="6475" w:type="dxa"/>
          </w:tcPr>
          <w:p w14:paraId="43B6CC15" w14:textId="77777777" w:rsidR="000D17C6" w:rsidRDefault="000D17C6" w:rsidP="000D17C6"/>
        </w:tc>
      </w:tr>
    </w:tbl>
    <w:p w14:paraId="787B660B" w14:textId="46B51C7C" w:rsidR="006C453F" w:rsidRDefault="006C453F"/>
    <w:p w14:paraId="2D129DE2" w14:textId="0D29DCCD" w:rsidR="00D510AF" w:rsidRDefault="00D510AF">
      <w:r>
        <w:br w:type="page"/>
      </w:r>
    </w:p>
    <w:p w14:paraId="4E7476DA" w14:textId="77777777" w:rsidR="00E810F8" w:rsidRPr="00DE3F93" w:rsidRDefault="00E810F8" w:rsidP="000D17C6">
      <w:pPr>
        <w:pStyle w:val="Heading1"/>
      </w:pPr>
      <w:r w:rsidRPr="000D17C6">
        <w:rPr>
          <w:rFonts w:ascii="Raleway" w:hAnsi="Raleway"/>
          <w:b/>
          <w:bCs/>
          <w:color w:val="612141"/>
        </w:rPr>
        <w:lastRenderedPageBreak/>
        <w:t>Evaluation Checklist B</w:t>
      </w:r>
    </w:p>
    <w:p w14:paraId="65006355" w14:textId="77777777" w:rsidR="00E810F8" w:rsidRDefault="00E810F8" w:rsidP="00E810F8"/>
    <w:p w14:paraId="5AEFA16C" w14:textId="77777777" w:rsidR="00E810F8" w:rsidRPr="00DE3F93" w:rsidRDefault="00E810F8" w:rsidP="000D17C6">
      <w:pPr>
        <w:pStyle w:val="Heading2"/>
      </w:pPr>
      <w:r>
        <w:t>5</w:t>
      </w:r>
      <w:r w:rsidRPr="00DE3F93">
        <w:t>. Standard Elements of Assessment (MPHEC)</w:t>
      </w:r>
    </w:p>
    <w:p w14:paraId="36109B81" w14:textId="77777777" w:rsidR="00E810F8" w:rsidRDefault="00E810F8" w:rsidP="00E810F8">
      <w:pPr>
        <w:pStyle w:val="NormalWeb"/>
        <w:rPr>
          <w:rFonts w:ascii="Calibri" w:hAnsi="Calibri" w:cs="Calibri"/>
          <w:sz w:val="20"/>
          <w:szCs w:val="20"/>
        </w:rPr>
      </w:pPr>
      <w:r>
        <w:rPr>
          <w:rFonts w:ascii="Calibri" w:hAnsi="Calibri" w:cs="Calibri"/>
          <w:sz w:val="20"/>
          <w:szCs w:val="20"/>
        </w:rPr>
        <w:t xml:space="preserve">The consultant is asked to comment, as appropriate, on the following assessment criteria which the Commission uses in its assessment of program proposals (see the </w:t>
      </w:r>
      <w:r>
        <w:rPr>
          <w:rFonts w:ascii="Calibri,Italic" w:hAnsi="Calibri,Italic" w:cs="Calibri"/>
          <w:sz w:val="20"/>
          <w:szCs w:val="20"/>
        </w:rPr>
        <w:t xml:space="preserve">Policy </w:t>
      </w:r>
      <w:r>
        <w:rPr>
          <w:rFonts w:ascii="Calibri" w:hAnsi="Calibri" w:cs="Calibri"/>
          <w:sz w:val="20"/>
          <w:szCs w:val="20"/>
        </w:rPr>
        <w:t xml:space="preserve">for further information on each assessment criterion): </w:t>
      </w:r>
    </w:p>
    <w:tbl>
      <w:tblPr>
        <w:tblStyle w:val="TableGrid"/>
        <w:tblW w:w="0" w:type="auto"/>
        <w:tblLook w:val="04A0" w:firstRow="1" w:lastRow="0" w:firstColumn="1" w:lastColumn="0" w:noHBand="0" w:noVBand="1"/>
      </w:tblPr>
      <w:tblGrid>
        <w:gridCol w:w="6475"/>
        <w:gridCol w:w="6475"/>
      </w:tblGrid>
      <w:tr w:rsidR="00E810F8" w14:paraId="62294BF6" w14:textId="77777777" w:rsidTr="000D17C6">
        <w:tc>
          <w:tcPr>
            <w:tcW w:w="6475" w:type="dxa"/>
            <w:shd w:val="clear" w:color="auto" w:fill="612141"/>
          </w:tcPr>
          <w:p w14:paraId="362A7397" w14:textId="77777777" w:rsidR="00E810F8" w:rsidRPr="000D17C6" w:rsidRDefault="00E810F8" w:rsidP="000D17C6">
            <w:pPr>
              <w:jc w:val="center"/>
              <w:rPr>
                <w:b/>
                <w:bCs/>
              </w:rPr>
            </w:pPr>
            <w:r w:rsidRPr="000D17C6">
              <w:rPr>
                <w:b/>
                <w:bCs/>
              </w:rPr>
              <w:t>Criteria</w:t>
            </w:r>
          </w:p>
        </w:tc>
        <w:tc>
          <w:tcPr>
            <w:tcW w:w="6475" w:type="dxa"/>
            <w:shd w:val="clear" w:color="auto" w:fill="612141"/>
          </w:tcPr>
          <w:p w14:paraId="15A12586" w14:textId="77777777" w:rsidR="00E810F8" w:rsidRPr="000D17C6" w:rsidRDefault="00E810F8" w:rsidP="000D17C6">
            <w:pPr>
              <w:jc w:val="center"/>
              <w:rPr>
                <w:b/>
                <w:bCs/>
              </w:rPr>
            </w:pPr>
            <w:r w:rsidRPr="000D17C6">
              <w:rPr>
                <w:b/>
                <w:bCs/>
              </w:rPr>
              <w:t>Evaluator Notes</w:t>
            </w:r>
          </w:p>
        </w:tc>
      </w:tr>
      <w:tr w:rsidR="00E810F8" w14:paraId="2D6D3C47" w14:textId="77777777" w:rsidTr="009B2F4C">
        <w:tc>
          <w:tcPr>
            <w:tcW w:w="6475" w:type="dxa"/>
          </w:tcPr>
          <w:p w14:paraId="655404BE" w14:textId="77777777" w:rsidR="00E810F8" w:rsidRDefault="00E810F8" w:rsidP="00E810F8">
            <w:pPr>
              <w:pStyle w:val="NormalWeb"/>
              <w:numPr>
                <w:ilvl w:val="0"/>
                <w:numId w:val="7"/>
              </w:numPr>
            </w:pPr>
            <w:r>
              <w:rPr>
                <w:rFonts w:ascii="Calibri" w:hAnsi="Calibri" w:cs="Calibri"/>
                <w:sz w:val="20"/>
                <w:szCs w:val="20"/>
              </w:rPr>
              <w:t>Program content, structure and delivery modes reflect a coherent program design that allows for the program objectives and anticipated student outcomes to be achieved, while providing sufficient depth and breadth to meet the standards of quality associated with the credential</w:t>
            </w:r>
          </w:p>
        </w:tc>
        <w:tc>
          <w:tcPr>
            <w:tcW w:w="6475" w:type="dxa"/>
          </w:tcPr>
          <w:p w14:paraId="6346C7D6" w14:textId="77777777" w:rsidR="00E810F8" w:rsidRDefault="00E810F8" w:rsidP="009B2F4C"/>
        </w:tc>
      </w:tr>
      <w:tr w:rsidR="00E810F8" w14:paraId="3453C163" w14:textId="77777777" w:rsidTr="009B2F4C">
        <w:tc>
          <w:tcPr>
            <w:tcW w:w="6475" w:type="dxa"/>
          </w:tcPr>
          <w:p w14:paraId="52AE39F9" w14:textId="77777777" w:rsidR="00E810F8" w:rsidRDefault="00E810F8" w:rsidP="00E810F8">
            <w:pPr>
              <w:pStyle w:val="NormalWeb"/>
              <w:numPr>
                <w:ilvl w:val="0"/>
                <w:numId w:val="7"/>
              </w:numPr>
            </w:pPr>
            <w:r>
              <w:rPr>
                <w:rFonts w:ascii="Calibri" w:hAnsi="Calibri" w:cs="Calibri"/>
                <w:sz w:val="20"/>
                <w:szCs w:val="20"/>
              </w:rPr>
              <w:t xml:space="preserve">Clearly defined and relevant program objectives and anticipated student and graduate outcomes </w:t>
            </w:r>
          </w:p>
          <w:p w14:paraId="00F2D88F" w14:textId="77777777" w:rsidR="00E810F8" w:rsidRDefault="00E810F8" w:rsidP="009B2F4C"/>
        </w:tc>
        <w:tc>
          <w:tcPr>
            <w:tcW w:w="6475" w:type="dxa"/>
          </w:tcPr>
          <w:p w14:paraId="7F6A83EB" w14:textId="77777777" w:rsidR="00E810F8" w:rsidRDefault="00E810F8" w:rsidP="009B2F4C"/>
        </w:tc>
      </w:tr>
      <w:tr w:rsidR="00E810F8" w14:paraId="655D9845" w14:textId="77777777" w:rsidTr="009B2F4C">
        <w:tc>
          <w:tcPr>
            <w:tcW w:w="6475" w:type="dxa"/>
          </w:tcPr>
          <w:p w14:paraId="0C2ED174" w14:textId="77777777" w:rsidR="00E810F8" w:rsidRDefault="00E810F8" w:rsidP="00E810F8">
            <w:pPr>
              <w:pStyle w:val="NormalWeb"/>
              <w:numPr>
                <w:ilvl w:val="0"/>
                <w:numId w:val="7"/>
              </w:numPr>
            </w:pPr>
            <w:r>
              <w:rPr>
                <w:rFonts w:ascii="Calibri" w:hAnsi="Calibri" w:cs="Calibri"/>
                <w:sz w:val="20"/>
                <w:szCs w:val="20"/>
              </w:rPr>
              <w:t xml:space="preserve">Appropriate fit of name, </w:t>
            </w:r>
            <w:proofErr w:type="gramStart"/>
            <w:r>
              <w:rPr>
                <w:rFonts w:ascii="Calibri" w:hAnsi="Calibri" w:cs="Calibri"/>
                <w:sz w:val="20"/>
                <w:szCs w:val="20"/>
              </w:rPr>
              <w:t>level</w:t>
            </w:r>
            <w:proofErr w:type="gramEnd"/>
            <w:r>
              <w:rPr>
                <w:rFonts w:ascii="Calibri" w:hAnsi="Calibri" w:cs="Calibri"/>
                <w:sz w:val="20"/>
                <w:szCs w:val="20"/>
              </w:rPr>
              <w:t xml:space="preserve"> and content to ensure “truth in advertising” and to facilitate credential recognition </w:t>
            </w:r>
          </w:p>
          <w:p w14:paraId="7B26047C" w14:textId="77777777" w:rsidR="00E810F8" w:rsidRDefault="00E810F8" w:rsidP="009B2F4C"/>
        </w:tc>
        <w:tc>
          <w:tcPr>
            <w:tcW w:w="6475" w:type="dxa"/>
          </w:tcPr>
          <w:p w14:paraId="7C8715D5" w14:textId="77777777" w:rsidR="00E810F8" w:rsidRDefault="00E810F8" w:rsidP="009B2F4C"/>
        </w:tc>
      </w:tr>
      <w:tr w:rsidR="00E810F8" w14:paraId="67B3952E" w14:textId="77777777" w:rsidTr="009B2F4C">
        <w:tc>
          <w:tcPr>
            <w:tcW w:w="6475" w:type="dxa"/>
          </w:tcPr>
          <w:p w14:paraId="52A76DB3" w14:textId="77777777" w:rsidR="00E810F8" w:rsidRDefault="00E810F8" w:rsidP="00E810F8">
            <w:pPr>
              <w:pStyle w:val="NormalWeb"/>
              <w:numPr>
                <w:ilvl w:val="0"/>
                <w:numId w:val="7"/>
              </w:numPr>
            </w:pPr>
            <w:r>
              <w:rPr>
                <w:rFonts w:ascii="Calibri" w:hAnsi="Calibri" w:cs="Calibri"/>
                <w:sz w:val="20"/>
                <w:szCs w:val="20"/>
              </w:rPr>
              <w:t xml:space="preserve">Adequate resources (human, physical and financial) to implement and sustain the program </w:t>
            </w:r>
          </w:p>
          <w:p w14:paraId="7C2855AC" w14:textId="77777777" w:rsidR="00E810F8" w:rsidRDefault="00E810F8" w:rsidP="009B2F4C"/>
        </w:tc>
        <w:tc>
          <w:tcPr>
            <w:tcW w:w="6475" w:type="dxa"/>
          </w:tcPr>
          <w:p w14:paraId="326BAC09" w14:textId="77777777" w:rsidR="00E810F8" w:rsidRDefault="00E810F8" w:rsidP="009B2F4C"/>
        </w:tc>
      </w:tr>
      <w:tr w:rsidR="00E810F8" w14:paraId="319A52C2" w14:textId="77777777" w:rsidTr="009B2F4C">
        <w:tc>
          <w:tcPr>
            <w:tcW w:w="6475" w:type="dxa"/>
          </w:tcPr>
          <w:p w14:paraId="6F6F0397" w14:textId="77777777" w:rsidR="00E810F8" w:rsidRDefault="00E810F8" w:rsidP="00E810F8">
            <w:pPr>
              <w:pStyle w:val="NormalWeb"/>
              <w:numPr>
                <w:ilvl w:val="0"/>
                <w:numId w:val="7"/>
              </w:numPr>
            </w:pPr>
            <w:proofErr w:type="gramStart"/>
            <w:r>
              <w:rPr>
                <w:rFonts w:ascii="Calibri" w:hAnsi="Calibri" w:cs="Calibri"/>
                <w:sz w:val="20"/>
                <w:szCs w:val="20"/>
              </w:rPr>
              <w:t>Program</w:t>
            </w:r>
            <w:proofErr w:type="gramEnd"/>
            <w:r>
              <w:rPr>
                <w:rFonts w:ascii="Calibri" w:hAnsi="Calibri" w:cs="Calibri"/>
                <w:sz w:val="20"/>
                <w:szCs w:val="20"/>
              </w:rPr>
              <w:t xml:space="preserve"> need and viability </w:t>
            </w:r>
          </w:p>
          <w:p w14:paraId="10E997B1" w14:textId="77777777" w:rsidR="00E810F8" w:rsidRDefault="00E810F8" w:rsidP="009B2F4C"/>
        </w:tc>
        <w:tc>
          <w:tcPr>
            <w:tcW w:w="6475" w:type="dxa"/>
          </w:tcPr>
          <w:p w14:paraId="6C6D2110" w14:textId="77777777" w:rsidR="00E810F8" w:rsidRDefault="00E810F8" w:rsidP="009B2F4C"/>
        </w:tc>
      </w:tr>
      <w:tr w:rsidR="00E810F8" w14:paraId="67F7D24B" w14:textId="77777777" w:rsidTr="009B2F4C">
        <w:tc>
          <w:tcPr>
            <w:tcW w:w="6475" w:type="dxa"/>
          </w:tcPr>
          <w:p w14:paraId="3D783C7B" w14:textId="61156136" w:rsidR="00E810F8" w:rsidRDefault="00E810F8" w:rsidP="009B2F4C">
            <w:pPr>
              <w:pStyle w:val="NormalWeb"/>
              <w:numPr>
                <w:ilvl w:val="0"/>
                <w:numId w:val="7"/>
              </w:numPr>
            </w:pPr>
            <w:r>
              <w:rPr>
                <w:rFonts w:ascii="Calibri" w:hAnsi="Calibri" w:cs="Calibri"/>
                <w:sz w:val="20"/>
                <w:szCs w:val="20"/>
              </w:rPr>
              <w:t xml:space="preserve">An academic environment that supports scholarship such as original research, </w:t>
            </w:r>
            <w:proofErr w:type="gramStart"/>
            <w:r>
              <w:rPr>
                <w:rFonts w:ascii="Calibri" w:hAnsi="Calibri" w:cs="Calibri"/>
                <w:sz w:val="20"/>
                <w:szCs w:val="20"/>
              </w:rPr>
              <w:t>creativity</w:t>
            </w:r>
            <w:proofErr w:type="gramEnd"/>
            <w:r>
              <w:rPr>
                <w:rFonts w:ascii="Calibri" w:hAnsi="Calibri" w:cs="Calibri"/>
                <w:sz w:val="20"/>
                <w:szCs w:val="20"/>
              </w:rPr>
              <w:t xml:space="preserve"> and the </w:t>
            </w:r>
            <w:r w:rsidRPr="00EF4660">
              <w:rPr>
                <w:rFonts w:ascii="Calibri" w:hAnsi="Calibri" w:cs="Calibri"/>
                <w:sz w:val="20"/>
                <w:szCs w:val="20"/>
              </w:rPr>
              <w:t xml:space="preserve">advancement of professional knowledge, as relevant to the program </w:t>
            </w:r>
            <w:r w:rsidRPr="00EF4660">
              <w:rPr>
                <w:rFonts w:ascii="Calibri,Italic" w:hAnsi="Calibri,Italic"/>
                <w:sz w:val="20"/>
                <w:szCs w:val="20"/>
              </w:rPr>
              <w:t xml:space="preserve">[Criterion for graduate-level programs only] </w:t>
            </w:r>
          </w:p>
        </w:tc>
        <w:tc>
          <w:tcPr>
            <w:tcW w:w="6475" w:type="dxa"/>
          </w:tcPr>
          <w:p w14:paraId="48B52276" w14:textId="77777777" w:rsidR="00E810F8" w:rsidRDefault="00E810F8" w:rsidP="009B2F4C"/>
        </w:tc>
      </w:tr>
      <w:tr w:rsidR="00E810F8" w14:paraId="3B72F9A8" w14:textId="77777777" w:rsidTr="009B2F4C">
        <w:tc>
          <w:tcPr>
            <w:tcW w:w="6475" w:type="dxa"/>
          </w:tcPr>
          <w:p w14:paraId="294B87C0" w14:textId="77777777" w:rsidR="00E810F8" w:rsidRDefault="00E810F8" w:rsidP="00E810F8">
            <w:pPr>
              <w:pStyle w:val="NormalWeb"/>
              <w:numPr>
                <w:ilvl w:val="0"/>
                <w:numId w:val="7"/>
              </w:numPr>
            </w:pPr>
            <w:r>
              <w:rPr>
                <w:rFonts w:ascii="Calibri" w:hAnsi="Calibri" w:cs="Calibri"/>
                <w:sz w:val="20"/>
                <w:szCs w:val="20"/>
              </w:rPr>
              <w:lastRenderedPageBreak/>
              <w:t>Clearly defined collaborative agreements</w:t>
            </w:r>
            <w:r>
              <w:rPr>
                <w:rFonts w:ascii="Calibri" w:hAnsi="Calibri" w:cs="Calibri"/>
                <w:sz w:val="20"/>
                <w:szCs w:val="20"/>
              </w:rPr>
              <w:br/>
            </w:r>
            <w:r>
              <w:rPr>
                <w:rFonts w:ascii="Calibri,Italic" w:hAnsi="Calibri,Italic"/>
                <w:sz w:val="20"/>
                <w:szCs w:val="20"/>
              </w:rPr>
              <w:t xml:space="preserve">[Criterion for programs offered by two or more institutions only] </w:t>
            </w:r>
          </w:p>
          <w:p w14:paraId="51A397EE" w14:textId="77777777" w:rsidR="00E810F8" w:rsidRDefault="00E810F8" w:rsidP="009B2F4C"/>
        </w:tc>
        <w:tc>
          <w:tcPr>
            <w:tcW w:w="6475" w:type="dxa"/>
          </w:tcPr>
          <w:p w14:paraId="0C0874BC" w14:textId="77777777" w:rsidR="00E810F8" w:rsidRDefault="00E810F8" w:rsidP="009B2F4C"/>
        </w:tc>
      </w:tr>
    </w:tbl>
    <w:p w14:paraId="44E0860F" w14:textId="77777777" w:rsidR="00E810F8" w:rsidRDefault="00E810F8" w:rsidP="00E810F8"/>
    <w:p w14:paraId="2F274BBB" w14:textId="11912226" w:rsidR="00E810F8" w:rsidRDefault="00E810F8"/>
    <w:p w14:paraId="07D7BDC9" w14:textId="7A988169" w:rsidR="00E810F8" w:rsidRDefault="00E810F8"/>
    <w:p w14:paraId="47A99E97" w14:textId="5135F406" w:rsidR="00E810F8" w:rsidRDefault="00E810F8"/>
    <w:p w14:paraId="1DDF7CF9" w14:textId="6F59EBFF" w:rsidR="00E810F8" w:rsidRDefault="007166D4">
      <w:r>
        <w:t xml:space="preserve">Other comments: </w:t>
      </w:r>
    </w:p>
    <w:p w14:paraId="61648364" w14:textId="68116B38" w:rsidR="00E810F8" w:rsidRDefault="00E810F8"/>
    <w:p w14:paraId="7F4B1FA7" w14:textId="77777777" w:rsidR="00E810F8" w:rsidRDefault="00E810F8"/>
    <w:sectPr w:rsidR="00E810F8" w:rsidSect="000D17C6">
      <w:headerReference w:type="first" r:id="rId7"/>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AA14" w14:textId="77777777" w:rsidR="002E2956" w:rsidRDefault="002E2956" w:rsidP="000D17C6">
      <w:r>
        <w:separator/>
      </w:r>
    </w:p>
  </w:endnote>
  <w:endnote w:type="continuationSeparator" w:id="0">
    <w:p w14:paraId="7D886CAE" w14:textId="77777777" w:rsidR="002E2956" w:rsidRDefault="002E2956" w:rsidP="000D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aleway">
    <w:panose1 w:val="00000000000000000000"/>
    <w:charset w:val="00"/>
    <w:family w:val="auto"/>
    <w:pitch w:val="variable"/>
    <w:sig w:usb0="A00002FF" w:usb1="5000205B" w:usb2="00000000" w:usb3="00000000" w:csb0="00000197" w:csb1="00000000"/>
  </w:font>
  <w:font w:name="Calibri,Italic">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D37B" w14:textId="77777777" w:rsidR="002E2956" w:rsidRDefault="002E2956" w:rsidP="000D17C6">
      <w:r>
        <w:separator/>
      </w:r>
    </w:p>
  </w:footnote>
  <w:footnote w:type="continuationSeparator" w:id="0">
    <w:p w14:paraId="5B83CC29" w14:textId="77777777" w:rsidR="002E2956" w:rsidRDefault="002E2956" w:rsidP="000D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61ED" w14:textId="3869E271" w:rsidR="000D17C6" w:rsidRDefault="000D17C6">
    <w:pPr>
      <w:pStyle w:val="Header"/>
    </w:pPr>
    <w:r>
      <w:rPr>
        <w:noProof/>
      </w:rPr>
      <w:drawing>
        <wp:inline distT="0" distB="0" distL="0" distR="0" wp14:anchorId="5120D0FB" wp14:editId="09ED425F">
          <wp:extent cx="2247900" cy="662538"/>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687" cy="6674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81332"/>
    <w:multiLevelType w:val="multilevel"/>
    <w:tmpl w:val="1DA83D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C6452B9"/>
    <w:multiLevelType w:val="hybridMultilevel"/>
    <w:tmpl w:val="42FC2600"/>
    <w:lvl w:ilvl="0" w:tplc="23EEB2F2">
      <w:start w:val="1"/>
      <w:numFmt w:val="lowerRoman"/>
      <w:lvlText w:val="%1)"/>
      <w:lvlJc w:val="left"/>
      <w:pPr>
        <w:ind w:left="1080" w:hanging="720"/>
      </w:pPr>
      <w:rPr>
        <w:rFonts w:ascii="Calibri" w:hAnsi="Calibri" w:cs="Calibri"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07C39"/>
    <w:multiLevelType w:val="multilevel"/>
    <w:tmpl w:val="DC2ADE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9581173"/>
    <w:multiLevelType w:val="multilevel"/>
    <w:tmpl w:val="28C0B7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2CA0C88"/>
    <w:multiLevelType w:val="multilevel"/>
    <w:tmpl w:val="DB2CC4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A6667C4"/>
    <w:multiLevelType w:val="multilevel"/>
    <w:tmpl w:val="156E8108"/>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D462931"/>
    <w:multiLevelType w:val="multilevel"/>
    <w:tmpl w:val="DC204F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69361819">
    <w:abstractNumId w:val="6"/>
  </w:num>
  <w:num w:numId="2" w16cid:durableId="973215635">
    <w:abstractNumId w:val="0"/>
  </w:num>
  <w:num w:numId="3" w16cid:durableId="1726174116">
    <w:abstractNumId w:val="5"/>
  </w:num>
  <w:num w:numId="4" w16cid:durableId="609049787">
    <w:abstractNumId w:val="4"/>
  </w:num>
  <w:num w:numId="5" w16cid:durableId="1536576684">
    <w:abstractNumId w:val="3"/>
  </w:num>
  <w:num w:numId="6" w16cid:durableId="352191125">
    <w:abstractNumId w:val="2"/>
  </w:num>
  <w:num w:numId="7" w16cid:durableId="77459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3F"/>
    <w:rsid w:val="000D17C6"/>
    <w:rsid w:val="000E6E4F"/>
    <w:rsid w:val="001A5F17"/>
    <w:rsid w:val="002E2956"/>
    <w:rsid w:val="00500D33"/>
    <w:rsid w:val="00594346"/>
    <w:rsid w:val="006C453F"/>
    <w:rsid w:val="007166D4"/>
    <w:rsid w:val="00777265"/>
    <w:rsid w:val="00951728"/>
    <w:rsid w:val="009C1AE0"/>
    <w:rsid w:val="009C26C6"/>
    <w:rsid w:val="00BF1211"/>
    <w:rsid w:val="00CE5A2A"/>
    <w:rsid w:val="00D510AF"/>
    <w:rsid w:val="00DE3F93"/>
    <w:rsid w:val="00DE559D"/>
    <w:rsid w:val="00E810F8"/>
    <w:rsid w:val="00FC49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214E"/>
  <w15:chartTrackingRefBased/>
  <w15:docId w15:val="{783577B3-3709-6B49-A461-A5B72B93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7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17C6"/>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453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D17C6"/>
    <w:pPr>
      <w:tabs>
        <w:tab w:val="center" w:pos="4680"/>
        <w:tab w:val="right" w:pos="9360"/>
      </w:tabs>
    </w:pPr>
  </w:style>
  <w:style w:type="character" w:customStyle="1" w:styleId="HeaderChar">
    <w:name w:val="Header Char"/>
    <w:basedOn w:val="DefaultParagraphFont"/>
    <w:link w:val="Header"/>
    <w:uiPriority w:val="99"/>
    <w:rsid w:val="000D17C6"/>
  </w:style>
  <w:style w:type="paragraph" w:styleId="Footer">
    <w:name w:val="footer"/>
    <w:basedOn w:val="Normal"/>
    <w:link w:val="FooterChar"/>
    <w:uiPriority w:val="99"/>
    <w:unhideWhenUsed/>
    <w:rsid w:val="000D17C6"/>
    <w:pPr>
      <w:tabs>
        <w:tab w:val="center" w:pos="4680"/>
        <w:tab w:val="right" w:pos="9360"/>
      </w:tabs>
    </w:pPr>
  </w:style>
  <w:style w:type="character" w:customStyle="1" w:styleId="FooterChar">
    <w:name w:val="Footer Char"/>
    <w:basedOn w:val="DefaultParagraphFont"/>
    <w:link w:val="Footer"/>
    <w:uiPriority w:val="99"/>
    <w:rsid w:val="000D17C6"/>
  </w:style>
  <w:style w:type="character" w:customStyle="1" w:styleId="Heading1Char">
    <w:name w:val="Heading 1 Char"/>
    <w:basedOn w:val="DefaultParagraphFont"/>
    <w:link w:val="Heading1"/>
    <w:uiPriority w:val="9"/>
    <w:rsid w:val="000D17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17C6"/>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8060">
      <w:bodyDiv w:val="1"/>
      <w:marLeft w:val="0"/>
      <w:marRight w:val="0"/>
      <w:marTop w:val="0"/>
      <w:marBottom w:val="0"/>
      <w:divBdr>
        <w:top w:val="none" w:sz="0" w:space="0" w:color="auto"/>
        <w:left w:val="none" w:sz="0" w:space="0" w:color="auto"/>
        <w:bottom w:val="none" w:sz="0" w:space="0" w:color="auto"/>
        <w:right w:val="none" w:sz="0" w:space="0" w:color="auto"/>
      </w:divBdr>
      <w:divsChild>
        <w:div w:id="1813207497">
          <w:marLeft w:val="0"/>
          <w:marRight w:val="0"/>
          <w:marTop w:val="0"/>
          <w:marBottom w:val="0"/>
          <w:divBdr>
            <w:top w:val="none" w:sz="0" w:space="0" w:color="auto"/>
            <w:left w:val="none" w:sz="0" w:space="0" w:color="auto"/>
            <w:bottom w:val="none" w:sz="0" w:space="0" w:color="auto"/>
            <w:right w:val="none" w:sz="0" w:space="0" w:color="auto"/>
          </w:divBdr>
          <w:divsChild>
            <w:div w:id="1870756335">
              <w:marLeft w:val="0"/>
              <w:marRight w:val="0"/>
              <w:marTop w:val="0"/>
              <w:marBottom w:val="0"/>
              <w:divBdr>
                <w:top w:val="none" w:sz="0" w:space="0" w:color="auto"/>
                <w:left w:val="none" w:sz="0" w:space="0" w:color="auto"/>
                <w:bottom w:val="none" w:sz="0" w:space="0" w:color="auto"/>
                <w:right w:val="none" w:sz="0" w:space="0" w:color="auto"/>
              </w:divBdr>
              <w:divsChild>
                <w:div w:id="18647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5082">
      <w:bodyDiv w:val="1"/>
      <w:marLeft w:val="0"/>
      <w:marRight w:val="0"/>
      <w:marTop w:val="0"/>
      <w:marBottom w:val="0"/>
      <w:divBdr>
        <w:top w:val="none" w:sz="0" w:space="0" w:color="auto"/>
        <w:left w:val="none" w:sz="0" w:space="0" w:color="auto"/>
        <w:bottom w:val="none" w:sz="0" w:space="0" w:color="auto"/>
        <w:right w:val="none" w:sz="0" w:space="0" w:color="auto"/>
      </w:divBdr>
      <w:divsChild>
        <w:div w:id="38870746">
          <w:marLeft w:val="0"/>
          <w:marRight w:val="0"/>
          <w:marTop w:val="0"/>
          <w:marBottom w:val="0"/>
          <w:divBdr>
            <w:top w:val="none" w:sz="0" w:space="0" w:color="auto"/>
            <w:left w:val="none" w:sz="0" w:space="0" w:color="auto"/>
            <w:bottom w:val="none" w:sz="0" w:space="0" w:color="auto"/>
            <w:right w:val="none" w:sz="0" w:space="0" w:color="auto"/>
          </w:divBdr>
          <w:divsChild>
            <w:div w:id="647170699">
              <w:marLeft w:val="0"/>
              <w:marRight w:val="0"/>
              <w:marTop w:val="0"/>
              <w:marBottom w:val="0"/>
              <w:divBdr>
                <w:top w:val="none" w:sz="0" w:space="0" w:color="auto"/>
                <w:left w:val="none" w:sz="0" w:space="0" w:color="auto"/>
                <w:bottom w:val="none" w:sz="0" w:space="0" w:color="auto"/>
                <w:right w:val="none" w:sz="0" w:space="0" w:color="auto"/>
              </w:divBdr>
              <w:divsChild>
                <w:div w:id="124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51618">
      <w:bodyDiv w:val="1"/>
      <w:marLeft w:val="0"/>
      <w:marRight w:val="0"/>
      <w:marTop w:val="0"/>
      <w:marBottom w:val="0"/>
      <w:divBdr>
        <w:top w:val="none" w:sz="0" w:space="0" w:color="auto"/>
        <w:left w:val="none" w:sz="0" w:space="0" w:color="auto"/>
        <w:bottom w:val="none" w:sz="0" w:space="0" w:color="auto"/>
        <w:right w:val="none" w:sz="0" w:space="0" w:color="auto"/>
      </w:divBdr>
      <w:divsChild>
        <w:div w:id="1848910370">
          <w:marLeft w:val="0"/>
          <w:marRight w:val="0"/>
          <w:marTop w:val="0"/>
          <w:marBottom w:val="0"/>
          <w:divBdr>
            <w:top w:val="none" w:sz="0" w:space="0" w:color="auto"/>
            <w:left w:val="none" w:sz="0" w:space="0" w:color="auto"/>
            <w:bottom w:val="none" w:sz="0" w:space="0" w:color="auto"/>
            <w:right w:val="none" w:sz="0" w:space="0" w:color="auto"/>
          </w:divBdr>
          <w:divsChild>
            <w:div w:id="911888706">
              <w:marLeft w:val="0"/>
              <w:marRight w:val="0"/>
              <w:marTop w:val="0"/>
              <w:marBottom w:val="0"/>
              <w:divBdr>
                <w:top w:val="none" w:sz="0" w:space="0" w:color="auto"/>
                <w:left w:val="none" w:sz="0" w:space="0" w:color="auto"/>
                <w:bottom w:val="none" w:sz="0" w:space="0" w:color="auto"/>
                <w:right w:val="none" w:sz="0" w:space="0" w:color="auto"/>
              </w:divBdr>
              <w:divsChild>
                <w:div w:id="8618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1658">
      <w:bodyDiv w:val="1"/>
      <w:marLeft w:val="0"/>
      <w:marRight w:val="0"/>
      <w:marTop w:val="0"/>
      <w:marBottom w:val="0"/>
      <w:divBdr>
        <w:top w:val="none" w:sz="0" w:space="0" w:color="auto"/>
        <w:left w:val="none" w:sz="0" w:space="0" w:color="auto"/>
        <w:bottom w:val="none" w:sz="0" w:space="0" w:color="auto"/>
        <w:right w:val="none" w:sz="0" w:space="0" w:color="auto"/>
      </w:divBdr>
      <w:divsChild>
        <w:div w:id="35592048">
          <w:marLeft w:val="0"/>
          <w:marRight w:val="0"/>
          <w:marTop w:val="0"/>
          <w:marBottom w:val="0"/>
          <w:divBdr>
            <w:top w:val="none" w:sz="0" w:space="0" w:color="auto"/>
            <w:left w:val="none" w:sz="0" w:space="0" w:color="auto"/>
            <w:bottom w:val="none" w:sz="0" w:space="0" w:color="auto"/>
            <w:right w:val="none" w:sz="0" w:space="0" w:color="auto"/>
          </w:divBdr>
          <w:divsChild>
            <w:div w:id="1029601302">
              <w:marLeft w:val="0"/>
              <w:marRight w:val="0"/>
              <w:marTop w:val="0"/>
              <w:marBottom w:val="0"/>
              <w:divBdr>
                <w:top w:val="none" w:sz="0" w:space="0" w:color="auto"/>
                <w:left w:val="none" w:sz="0" w:space="0" w:color="auto"/>
                <w:bottom w:val="none" w:sz="0" w:space="0" w:color="auto"/>
                <w:right w:val="none" w:sz="0" w:space="0" w:color="auto"/>
              </w:divBdr>
              <w:divsChild>
                <w:div w:id="668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8567">
      <w:bodyDiv w:val="1"/>
      <w:marLeft w:val="0"/>
      <w:marRight w:val="0"/>
      <w:marTop w:val="0"/>
      <w:marBottom w:val="0"/>
      <w:divBdr>
        <w:top w:val="none" w:sz="0" w:space="0" w:color="auto"/>
        <w:left w:val="none" w:sz="0" w:space="0" w:color="auto"/>
        <w:bottom w:val="none" w:sz="0" w:space="0" w:color="auto"/>
        <w:right w:val="none" w:sz="0" w:space="0" w:color="auto"/>
      </w:divBdr>
      <w:divsChild>
        <w:div w:id="673537151">
          <w:marLeft w:val="0"/>
          <w:marRight w:val="0"/>
          <w:marTop w:val="0"/>
          <w:marBottom w:val="0"/>
          <w:divBdr>
            <w:top w:val="none" w:sz="0" w:space="0" w:color="auto"/>
            <w:left w:val="none" w:sz="0" w:space="0" w:color="auto"/>
            <w:bottom w:val="none" w:sz="0" w:space="0" w:color="auto"/>
            <w:right w:val="none" w:sz="0" w:space="0" w:color="auto"/>
          </w:divBdr>
          <w:divsChild>
            <w:div w:id="1791052206">
              <w:marLeft w:val="0"/>
              <w:marRight w:val="0"/>
              <w:marTop w:val="0"/>
              <w:marBottom w:val="0"/>
              <w:divBdr>
                <w:top w:val="none" w:sz="0" w:space="0" w:color="auto"/>
                <w:left w:val="none" w:sz="0" w:space="0" w:color="auto"/>
                <w:bottom w:val="none" w:sz="0" w:space="0" w:color="auto"/>
                <w:right w:val="none" w:sz="0" w:space="0" w:color="auto"/>
              </w:divBdr>
              <w:divsChild>
                <w:div w:id="1851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7248">
      <w:bodyDiv w:val="1"/>
      <w:marLeft w:val="0"/>
      <w:marRight w:val="0"/>
      <w:marTop w:val="0"/>
      <w:marBottom w:val="0"/>
      <w:divBdr>
        <w:top w:val="none" w:sz="0" w:space="0" w:color="auto"/>
        <w:left w:val="none" w:sz="0" w:space="0" w:color="auto"/>
        <w:bottom w:val="none" w:sz="0" w:space="0" w:color="auto"/>
        <w:right w:val="none" w:sz="0" w:space="0" w:color="auto"/>
      </w:divBdr>
      <w:divsChild>
        <w:div w:id="34083682">
          <w:marLeft w:val="0"/>
          <w:marRight w:val="0"/>
          <w:marTop w:val="0"/>
          <w:marBottom w:val="0"/>
          <w:divBdr>
            <w:top w:val="none" w:sz="0" w:space="0" w:color="auto"/>
            <w:left w:val="none" w:sz="0" w:space="0" w:color="auto"/>
            <w:bottom w:val="none" w:sz="0" w:space="0" w:color="auto"/>
            <w:right w:val="none" w:sz="0" w:space="0" w:color="auto"/>
          </w:divBdr>
          <w:divsChild>
            <w:div w:id="1210262137">
              <w:marLeft w:val="0"/>
              <w:marRight w:val="0"/>
              <w:marTop w:val="0"/>
              <w:marBottom w:val="0"/>
              <w:divBdr>
                <w:top w:val="none" w:sz="0" w:space="0" w:color="auto"/>
                <w:left w:val="none" w:sz="0" w:space="0" w:color="auto"/>
                <w:bottom w:val="none" w:sz="0" w:space="0" w:color="auto"/>
                <w:right w:val="none" w:sz="0" w:space="0" w:color="auto"/>
              </w:divBdr>
              <w:divsChild>
                <w:div w:id="1983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19846">
      <w:bodyDiv w:val="1"/>
      <w:marLeft w:val="0"/>
      <w:marRight w:val="0"/>
      <w:marTop w:val="0"/>
      <w:marBottom w:val="0"/>
      <w:divBdr>
        <w:top w:val="none" w:sz="0" w:space="0" w:color="auto"/>
        <w:left w:val="none" w:sz="0" w:space="0" w:color="auto"/>
        <w:bottom w:val="none" w:sz="0" w:space="0" w:color="auto"/>
        <w:right w:val="none" w:sz="0" w:space="0" w:color="auto"/>
      </w:divBdr>
      <w:divsChild>
        <w:div w:id="603878160">
          <w:marLeft w:val="0"/>
          <w:marRight w:val="0"/>
          <w:marTop w:val="0"/>
          <w:marBottom w:val="0"/>
          <w:divBdr>
            <w:top w:val="none" w:sz="0" w:space="0" w:color="auto"/>
            <w:left w:val="none" w:sz="0" w:space="0" w:color="auto"/>
            <w:bottom w:val="none" w:sz="0" w:space="0" w:color="auto"/>
            <w:right w:val="none" w:sz="0" w:space="0" w:color="auto"/>
          </w:divBdr>
          <w:divsChild>
            <w:div w:id="1179350345">
              <w:marLeft w:val="0"/>
              <w:marRight w:val="0"/>
              <w:marTop w:val="0"/>
              <w:marBottom w:val="0"/>
              <w:divBdr>
                <w:top w:val="none" w:sz="0" w:space="0" w:color="auto"/>
                <w:left w:val="none" w:sz="0" w:space="0" w:color="auto"/>
                <w:bottom w:val="none" w:sz="0" w:space="0" w:color="auto"/>
                <w:right w:val="none" w:sz="0" w:space="0" w:color="auto"/>
              </w:divBdr>
              <w:divsChild>
                <w:div w:id="6496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B595EA361AC40BB1C14D7A59EC26C" ma:contentTypeVersion="0" ma:contentTypeDescription="Create a new document." ma:contentTypeScope="" ma:versionID="f95b82a78b77aba839a99a62c5207855">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3DFE8-D595-499A-A4AB-61370CEA523B}"/>
</file>

<file path=customXml/itemProps2.xml><?xml version="1.0" encoding="utf-8"?>
<ds:datastoreItem xmlns:ds="http://schemas.openxmlformats.org/officeDocument/2006/customXml" ds:itemID="{A4A3C59E-0166-4CF9-AB9E-FC99352F480E}"/>
</file>

<file path=customXml/itemProps3.xml><?xml version="1.0" encoding="utf-8"?>
<ds:datastoreItem xmlns:ds="http://schemas.openxmlformats.org/officeDocument/2006/customXml" ds:itemID="{964D5B43-6583-462C-A0D8-9AB65587B677}"/>
</file>

<file path=docProps/app.xml><?xml version="1.0" encoding="utf-8"?>
<Properties xmlns="http://schemas.openxmlformats.org/officeDocument/2006/extended-properties" xmlns:vt="http://schemas.openxmlformats.org/officeDocument/2006/docPropsVTypes">
  <Template>Normal.dotm</Template>
  <TotalTime>10</TotalTime>
  <Pages>4</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Kay</dc:creator>
  <cp:keywords/>
  <dc:description/>
  <cp:lastModifiedBy>William Kay</cp:lastModifiedBy>
  <cp:revision>5</cp:revision>
  <dcterms:created xsi:type="dcterms:W3CDTF">2022-06-06T08:11:00Z</dcterms:created>
  <dcterms:modified xsi:type="dcterms:W3CDTF">2022-06-21T13:21:00Z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0x010100BB8B595EA361AC40BB1C14D7A59EC26C</vt:lpwstr>
  </property>
</Properties>
</file>